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9E1" w:rsidRDefault="007151CC">
      <w:pPr>
        <w:spacing w:after="0" w:line="240" w:lineRule="auto"/>
        <w:jc w:val="center"/>
        <w:rPr>
          <w:rFonts w:ascii="Tinos" w:eastAsia="Tinos" w:hAnsi="Tinos" w:cs="Tinos"/>
          <w:b/>
          <w:sz w:val="28"/>
          <w:szCs w:val="28"/>
        </w:rPr>
      </w:pPr>
      <w:r>
        <w:rPr>
          <w:rFonts w:ascii="Tinos" w:eastAsia="Tinos" w:hAnsi="Tinos" w:cs="Tinos"/>
          <w:b/>
          <w:bCs/>
          <w:sz w:val="28"/>
          <w:szCs w:val="28"/>
        </w:rPr>
        <w:t xml:space="preserve">Упрощенный порядок регистрации жилого дома или как </w:t>
      </w:r>
    </w:p>
    <w:p w:rsidR="00EF59E1" w:rsidRDefault="007151CC">
      <w:pPr>
        <w:spacing w:after="0" w:line="240" w:lineRule="auto"/>
        <w:jc w:val="center"/>
        <w:rPr>
          <w:rFonts w:ascii="Tinos" w:eastAsia="Tinos" w:hAnsi="Tinos" w:cs="Tinos"/>
          <w:b/>
          <w:sz w:val="28"/>
          <w:szCs w:val="28"/>
        </w:rPr>
      </w:pPr>
      <w:r>
        <w:rPr>
          <w:rFonts w:ascii="Tinos" w:eastAsia="Tinos" w:hAnsi="Tinos" w:cs="Tinos"/>
          <w:b/>
          <w:bCs/>
          <w:sz w:val="28"/>
          <w:szCs w:val="28"/>
        </w:rPr>
        <w:t>не нажить проблем после окончания его строительства</w:t>
      </w:r>
    </w:p>
    <w:p w:rsidR="00EF59E1" w:rsidRDefault="00EF59E1">
      <w:pPr>
        <w:spacing w:after="0" w:line="240" w:lineRule="auto"/>
        <w:jc w:val="center"/>
        <w:rPr>
          <w:rFonts w:ascii="Tinos" w:eastAsia="Tinos" w:hAnsi="Tinos" w:cs="Tinos"/>
          <w:bCs/>
          <w:i/>
          <w:sz w:val="28"/>
          <w:szCs w:val="28"/>
        </w:rPr>
      </w:pPr>
    </w:p>
    <w:p w:rsidR="00EF59E1" w:rsidRDefault="00EF59E1">
      <w:pPr>
        <w:spacing w:after="0" w:line="240" w:lineRule="auto"/>
        <w:jc w:val="center"/>
        <w:rPr>
          <w:rFonts w:ascii="Tinos" w:eastAsia="Tinos" w:hAnsi="Tinos" w:cs="Tinos"/>
          <w:bCs/>
          <w:i/>
          <w:sz w:val="28"/>
          <w:szCs w:val="28"/>
        </w:rPr>
      </w:pPr>
    </w:p>
    <w:p w:rsidR="00EF59E1" w:rsidRDefault="007151CC">
      <w:pPr>
        <w:spacing w:after="0" w:line="240" w:lineRule="auto"/>
        <w:ind w:firstLine="709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</w:rPr>
        <w:t>Многие из нас в последние годы сталкивались с необходимостью постановки на кадастровый учет и регистрации права собственности на постро</w:t>
      </w:r>
      <w:r>
        <w:rPr>
          <w:rFonts w:ascii="Tinos" w:eastAsia="Tinos" w:hAnsi="Tinos" w:cs="Tinos"/>
          <w:sz w:val="28"/>
        </w:rPr>
        <w:t>енный жилой дом, а кому-то это предстоит в ближайшем будущем.</w:t>
      </w:r>
    </w:p>
    <w:p w:rsidR="00EF59E1" w:rsidRDefault="007151CC">
      <w:pPr>
        <w:spacing w:after="0" w:line="240" w:lineRule="auto"/>
        <w:ind w:firstLine="709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</w:rPr>
        <w:t xml:space="preserve"> Для этого требуется обратиться к кадастровому инженеру и заказать технический план здания, в котором будут отображены фактические границы в координатах, будет подсчитана площадь здания. </w:t>
      </w:r>
    </w:p>
    <w:p w:rsidR="00EF59E1" w:rsidRDefault="007151CC">
      <w:pPr>
        <w:spacing w:after="0" w:line="240" w:lineRule="auto"/>
        <w:ind w:firstLine="709"/>
        <w:jc w:val="both"/>
        <w:rPr>
          <w:rFonts w:ascii="Tinos" w:eastAsia="Tinos" w:hAnsi="Tinos" w:cs="Tinos"/>
          <w:sz w:val="28"/>
          <w:szCs w:val="28"/>
        </w:rPr>
      </w:pPr>
      <w:r>
        <w:rPr>
          <w:rFonts w:ascii="Tinos" w:eastAsia="Tinos" w:hAnsi="Tinos" w:cs="Tinos"/>
          <w:sz w:val="28"/>
        </w:rPr>
        <w:t>К сожа</w:t>
      </w:r>
      <w:r>
        <w:rPr>
          <w:rFonts w:ascii="Tinos" w:eastAsia="Tinos" w:hAnsi="Tinos" w:cs="Tinos"/>
          <w:sz w:val="28"/>
        </w:rPr>
        <w:t>лению, граждане обращаются к кадастровому инженеру только на этом этапе строительства объекта – когда всё уже построено, изменить без ущерба здани</w:t>
      </w:r>
      <w:r w:rsidR="000206E7">
        <w:rPr>
          <w:rFonts w:ascii="Tinos" w:eastAsia="Tinos" w:hAnsi="Tinos" w:cs="Tinos"/>
          <w:sz w:val="28"/>
        </w:rPr>
        <w:t>е</w:t>
      </w:r>
      <w:r>
        <w:rPr>
          <w:rFonts w:ascii="Tinos" w:eastAsia="Tinos" w:hAnsi="Tinos" w:cs="Tinos"/>
          <w:sz w:val="28"/>
        </w:rPr>
        <w:t xml:space="preserve"> уже невозможно. Почему? Ответ прост: бытует мнение об упрощенном порядке –  как хочу, так и построю, ведь эт</w:t>
      </w:r>
      <w:r>
        <w:rPr>
          <w:rFonts w:ascii="Tinos" w:eastAsia="Tinos" w:hAnsi="Tinos" w:cs="Tinos"/>
          <w:sz w:val="28"/>
        </w:rPr>
        <w:t>о же на моем участке.</w:t>
      </w:r>
    </w:p>
    <w:p w:rsidR="00EF59E1" w:rsidRDefault="007151CC">
      <w:pPr>
        <w:spacing w:after="0" w:line="240" w:lineRule="auto"/>
        <w:ind w:firstLine="709"/>
        <w:jc w:val="both"/>
        <w:rPr>
          <w:rFonts w:ascii="Tinos" w:eastAsia="Tinos" w:hAnsi="Tinos" w:cs="Tinos"/>
          <w:sz w:val="28"/>
        </w:rPr>
      </w:pPr>
      <w:r>
        <w:rPr>
          <w:rFonts w:ascii="Tinos" w:eastAsia="Tinos" w:hAnsi="Tinos" w:cs="Tinos"/>
          <w:sz w:val="28"/>
        </w:rPr>
        <w:t>Данное заблуждение может привести к колоссальным проблемам: минимум гражданин не сможет в административном порядке зарегистрировать право на дом, максимум – получит судебную тяжбу и впоследствии предписание о его сносе.</w:t>
      </w:r>
    </w:p>
    <w:p w:rsidR="00EF59E1" w:rsidRDefault="007151CC">
      <w:pPr>
        <w:spacing w:after="0" w:line="240" w:lineRule="auto"/>
        <w:ind w:firstLine="709"/>
        <w:jc w:val="both"/>
        <w:rPr>
          <w:rFonts w:ascii="Tinos" w:eastAsia="Tinos" w:hAnsi="Tinos" w:cs="Tinos"/>
          <w:sz w:val="28"/>
        </w:rPr>
      </w:pPr>
      <w:r>
        <w:rPr>
          <w:rFonts w:ascii="Tinos" w:eastAsia="Tinos" w:hAnsi="Tinos" w:cs="Tinos"/>
          <w:sz w:val="28"/>
        </w:rPr>
        <w:t>Разберемся с т</w:t>
      </w:r>
      <w:r>
        <w:rPr>
          <w:rFonts w:ascii="Tinos" w:eastAsia="Tinos" w:hAnsi="Tinos" w:cs="Tinos"/>
          <w:sz w:val="28"/>
        </w:rPr>
        <w:t>еорией!</w:t>
      </w:r>
    </w:p>
    <w:p w:rsidR="00EF59E1" w:rsidRDefault="007151CC">
      <w:pPr>
        <w:spacing w:after="0" w:line="240" w:lineRule="auto"/>
        <w:ind w:firstLine="709"/>
        <w:contextualSpacing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 xml:space="preserve">Согласно пункту 1 статьи 263 Гражданского кодекса Российской Федерации </w:t>
      </w:r>
      <w:r>
        <w:rPr>
          <w:rFonts w:ascii="Tinos" w:hAnsi="Tinos" w:cs="Tinos"/>
          <w:i/>
          <w:iCs/>
          <w:sz w:val="28"/>
          <w:szCs w:val="28"/>
        </w:rPr>
        <w:t xml:space="preserve">собственник земельного участка может возводить на нем здания </w:t>
      </w:r>
      <w:r>
        <w:rPr>
          <w:rFonts w:ascii="Tinos" w:hAnsi="Tinos" w:cs="Tinos"/>
          <w:i/>
          <w:iCs/>
          <w:color w:val="000000" w:themeColor="text1"/>
          <w:sz w:val="28"/>
          <w:szCs w:val="28"/>
        </w:rPr>
        <w:t>и сооружения,</w:t>
      </w:r>
      <w:r>
        <w:rPr>
          <w:rFonts w:ascii="Tinos" w:hAnsi="Tinos" w:cs="Tinos"/>
          <w:sz w:val="28"/>
          <w:szCs w:val="28"/>
        </w:rPr>
        <w:t xml:space="preserve"> осуществлять их перестройку или снос, разрешать строительство на своем участке другим лицам. Эти права</w:t>
      </w:r>
      <w:r>
        <w:rPr>
          <w:rFonts w:ascii="Tinos" w:hAnsi="Tinos" w:cs="Tinos"/>
          <w:sz w:val="28"/>
          <w:szCs w:val="28"/>
        </w:rPr>
        <w:t xml:space="preserve"> осуществляются при условии </w:t>
      </w:r>
      <w:r>
        <w:rPr>
          <w:rFonts w:ascii="Tinos" w:hAnsi="Tinos" w:cs="Tinos"/>
          <w:i/>
          <w:iCs/>
          <w:sz w:val="28"/>
          <w:szCs w:val="28"/>
        </w:rPr>
        <w:t xml:space="preserve">соблюдения градостроительных и строительных норм и правил, </w:t>
      </w:r>
      <w:r>
        <w:rPr>
          <w:rFonts w:ascii="Tinos" w:hAnsi="Tinos" w:cs="Tinos"/>
          <w:sz w:val="28"/>
          <w:szCs w:val="28"/>
        </w:rPr>
        <w:t>а также требований о целевом назначении земельного участка.</w:t>
      </w:r>
    </w:p>
    <w:p w:rsidR="00EF59E1" w:rsidRDefault="007151CC">
      <w:pPr>
        <w:spacing w:after="0" w:line="240" w:lineRule="auto"/>
        <w:ind w:firstLine="709"/>
        <w:contextualSpacing/>
        <w:jc w:val="both"/>
        <w:rPr>
          <w:rFonts w:ascii="Tinos" w:hAnsi="Tinos" w:cs="Tinos"/>
          <w:i/>
          <w:iCs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Согласно пункту 12 статьи 70 Федерального закона от 13.07.2015 №218-ФЗ «О государственной регистрации недвижи</w:t>
      </w:r>
      <w:r>
        <w:rPr>
          <w:rFonts w:ascii="Tinos" w:hAnsi="Tinos" w:cs="Tinos"/>
          <w:sz w:val="28"/>
          <w:szCs w:val="28"/>
        </w:rPr>
        <w:t xml:space="preserve">мости» до 1 марта 2031 года </w:t>
      </w:r>
      <w:r>
        <w:rPr>
          <w:rFonts w:ascii="Tinos" w:hAnsi="Tinos" w:cs="Tinos"/>
          <w:i/>
          <w:iCs/>
          <w:sz w:val="28"/>
          <w:szCs w:val="28"/>
        </w:rPr>
        <w:t>допускается осуществление государственного кадастрового учета и (или) государственной регистрации прав на жилой или садовый дом,</w:t>
      </w:r>
      <w:r>
        <w:rPr>
          <w:rFonts w:ascii="Tinos" w:hAnsi="Tinos" w:cs="Tinos"/>
          <w:sz w:val="28"/>
          <w:szCs w:val="28"/>
        </w:rPr>
        <w:t xml:space="preserve"> созданный на земельном участке, предназначенном для ведения гражданами садоводства, для индивидуаль</w:t>
      </w:r>
      <w:r>
        <w:rPr>
          <w:rFonts w:ascii="Tinos" w:hAnsi="Tinos" w:cs="Tinos"/>
          <w:sz w:val="28"/>
          <w:szCs w:val="28"/>
        </w:rPr>
        <w:t>ного жилищного строительства или для ведения личного подсобного хозяйства в границах населенного пункта, для осуществления крестьянским (фермерским) хозяйством своей деятельности, и в случае если объект соответствует понятию объекта индивидуального жилищно</w:t>
      </w:r>
      <w:r>
        <w:rPr>
          <w:rFonts w:ascii="Tinos" w:hAnsi="Tinos" w:cs="Tinos"/>
          <w:sz w:val="28"/>
          <w:szCs w:val="28"/>
        </w:rPr>
        <w:t xml:space="preserve">го строительства, </w:t>
      </w:r>
      <w:r>
        <w:rPr>
          <w:rFonts w:ascii="Tinos" w:hAnsi="Tinos" w:cs="Tinos"/>
          <w:i/>
          <w:iCs/>
          <w:sz w:val="28"/>
          <w:szCs w:val="28"/>
        </w:rPr>
        <w:t>на основании только технического плана и правоустанавливающего документа на земельный участок.</w:t>
      </w:r>
    </w:p>
    <w:p w:rsidR="00EF59E1" w:rsidRDefault="007151CC">
      <w:pPr>
        <w:spacing w:after="0" w:line="240" w:lineRule="auto"/>
        <w:ind w:firstLine="709"/>
        <w:contextualSpacing/>
        <w:jc w:val="both"/>
        <w:rPr>
          <w:rFonts w:ascii="Tinos" w:hAnsi="Tinos" w:cs="Tinos"/>
          <w:i/>
          <w:iCs/>
          <w:sz w:val="28"/>
          <w:szCs w:val="28"/>
        </w:rPr>
      </w:pPr>
      <w:r>
        <w:rPr>
          <w:rFonts w:ascii="Tinos" w:hAnsi="Tinos" w:cs="Tinos"/>
          <w:sz w:val="28"/>
          <w:szCs w:val="28"/>
        </w:rPr>
        <w:t xml:space="preserve">Индивидуальный жилой дом в соответствии с пунктом 39 статьи 1 Градостроительного кодекса Российской Федерации - </w:t>
      </w:r>
      <w:r>
        <w:rPr>
          <w:rFonts w:ascii="Tinos" w:hAnsi="Tinos" w:cs="Tinos"/>
          <w:i/>
          <w:iCs/>
          <w:sz w:val="28"/>
          <w:szCs w:val="28"/>
        </w:rPr>
        <w:t xml:space="preserve">отдельно стоящее </w:t>
      </w:r>
      <w:r>
        <w:rPr>
          <w:rFonts w:ascii="Tinos" w:hAnsi="Tinos" w:cs="Tinos"/>
          <w:i/>
          <w:iCs/>
          <w:sz w:val="28"/>
          <w:szCs w:val="28"/>
        </w:rPr>
        <w:t xml:space="preserve">здание с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</w:t>
      </w:r>
      <w:r>
        <w:rPr>
          <w:rFonts w:ascii="Tinos" w:hAnsi="Tinos" w:cs="Tinos"/>
          <w:i/>
          <w:iCs/>
          <w:sz w:val="28"/>
          <w:szCs w:val="28"/>
        </w:rPr>
        <w:t>таком здании, и не предназначено для раздела на самостоятельные объекты недвижимости.</w:t>
      </w:r>
    </w:p>
    <w:p w:rsidR="00EF59E1" w:rsidRDefault="007151CC">
      <w:pPr>
        <w:spacing w:after="0" w:line="240" w:lineRule="auto"/>
        <w:ind w:firstLine="709"/>
        <w:contextualSpacing/>
        <w:jc w:val="both"/>
        <w:rPr>
          <w:i/>
          <w:iCs/>
        </w:rPr>
      </w:pPr>
      <w:r>
        <w:rPr>
          <w:rFonts w:ascii="Tinos" w:hAnsi="Tinos" w:cs="Tinos"/>
          <w:sz w:val="28"/>
          <w:szCs w:val="28"/>
        </w:rPr>
        <w:lastRenderedPageBreak/>
        <w:t>В соответствии с частью 13 статьи 70 Федерального закона от 13.07.2015 № 218-ФЗ «О государственной регистрации недвижимости» при проведении правовой экспертизы документов</w:t>
      </w:r>
      <w:r>
        <w:rPr>
          <w:rFonts w:ascii="Tinos" w:hAnsi="Tinos" w:cs="Tinos"/>
          <w:sz w:val="28"/>
          <w:szCs w:val="28"/>
        </w:rPr>
        <w:t>, представленных для осуществления государственного кадастрового учета и (или) государственной регистрации прав,</w:t>
      </w:r>
      <w:r>
        <w:rPr>
          <w:rFonts w:ascii="Tinos" w:hAnsi="Tinos" w:cs="Tinos"/>
          <w:i/>
          <w:iCs/>
          <w:sz w:val="28"/>
          <w:szCs w:val="28"/>
        </w:rPr>
        <w:t xml:space="preserve"> государственным регистратором прав осуществляется проверка представленных документов в том числе на предмет соответствия:</w:t>
      </w:r>
    </w:p>
    <w:p w:rsidR="00EF59E1" w:rsidRDefault="007151CC">
      <w:pPr>
        <w:spacing w:after="0" w:line="240" w:lineRule="auto"/>
        <w:ind w:firstLine="709"/>
        <w:contextualSpacing/>
        <w:jc w:val="both"/>
      </w:pPr>
      <w:r>
        <w:rPr>
          <w:rFonts w:ascii="Tinos" w:hAnsi="Tinos" w:cs="Tinos"/>
          <w:sz w:val="28"/>
          <w:szCs w:val="28"/>
        </w:rPr>
        <w:t>1) ограничениям, уста</w:t>
      </w:r>
      <w:r>
        <w:rPr>
          <w:rFonts w:ascii="Tinos" w:hAnsi="Tinos" w:cs="Tinos"/>
          <w:sz w:val="28"/>
          <w:szCs w:val="28"/>
        </w:rPr>
        <w:t>новленным в зонах с особыми условиями использования территорий, сведения о которых внесены в ЕГРН и (или) сведения о которых содержатся в документе, устанавливающем или удостоверяющем право на земельный участок, в границах которого расположено соответствую</w:t>
      </w:r>
      <w:r>
        <w:rPr>
          <w:rFonts w:ascii="Tinos" w:hAnsi="Tinos" w:cs="Tinos"/>
          <w:sz w:val="28"/>
          <w:szCs w:val="28"/>
        </w:rPr>
        <w:t>щее здание – это в том числе ограничения от охранных зон инженерных объектов, зон санитарной охраны, санитарно-защитных зон и прочим в соответствии со статьей 105 Земельного кодекса Российской Федерации;</w:t>
      </w:r>
    </w:p>
    <w:p w:rsidR="00EF59E1" w:rsidRDefault="007151CC">
      <w:pPr>
        <w:spacing w:after="0" w:line="240" w:lineRule="auto"/>
        <w:ind w:firstLine="709"/>
        <w:contextualSpacing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2) предельным параметрам соответствующих объектов не</w:t>
      </w:r>
      <w:r>
        <w:rPr>
          <w:rFonts w:ascii="Tinos" w:hAnsi="Tinos" w:cs="Tinos"/>
          <w:sz w:val="28"/>
          <w:szCs w:val="28"/>
        </w:rPr>
        <w:t>движимости, установленным федеральным законом и правилами землепользования и застройки, за исключением соответствия минимальным отступам от границ земельных участков в целях определения мест допустимого размещения зданий, сооружений, за пределами которых з</w:t>
      </w:r>
      <w:r>
        <w:rPr>
          <w:rFonts w:ascii="Tinos" w:hAnsi="Tinos" w:cs="Tinos"/>
          <w:sz w:val="28"/>
          <w:szCs w:val="28"/>
        </w:rPr>
        <w:t>апрещено строительство зданий, сооружений.</w:t>
      </w:r>
    </w:p>
    <w:p w:rsidR="00EF59E1" w:rsidRDefault="007151CC">
      <w:pPr>
        <w:spacing w:after="0" w:line="240" w:lineRule="auto"/>
        <w:ind w:firstLine="709"/>
        <w:contextualSpacing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Таким образом, от выбора места строительства объекта недвижимости и его параметров зависит вероятность достижения конечной цели узаконивания объекта недвижимости – внесения его в ЕГРН.</w:t>
      </w:r>
    </w:p>
    <w:p w:rsidR="00EF59E1" w:rsidRDefault="007151CC">
      <w:pPr>
        <w:spacing w:after="0" w:line="240" w:lineRule="auto"/>
        <w:ind w:firstLine="709"/>
        <w:contextualSpacing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Как понять: правильно ли выб</w:t>
      </w:r>
      <w:r>
        <w:rPr>
          <w:rFonts w:ascii="Tinos" w:hAnsi="Tinos" w:cs="Tinos"/>
          <w:sz w:val="28"/>
          <w:szCs w:val="28"/>
        </w:rPr>
        <w:t>рано место перед началом стройки?</w:t>
      </w:r>
    </w:p>
    <w:p w:rsidR="00EE4B5D" w:rsidRDefault="00EE4B5D" w:rsidP="00EE4B5D">
      <w:pPr>
        <w:spacing w:after="0" w:line="240" w:lineRule="auto"/>
        <w:ind w:firstLine="709"/>
        <w:contextualSpacing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На свой страх и риск г</w:t>
      </w:r>
      <w:r>
        <w:rPr>
          <w:rFonts w:ascii="Tinos" w:hAnsi="Tinos" w:cs="Tinos"/>
          <w:sz w:val="28"/>
          <w:szCs w:val="28"/>
        </w:rPr>
        <w:t>ражданин может самостоятельно ознакомиться с градостроительными регламентами в правилах землепользования и застройки муниципального образования, а также изучить обременения своего земельного участка из выписки из ЕГРН.</w:t>
      </w:r>
    </w:p>
    <w:p w:rsidR="00EF59E1" w:rsidRDefault="00EE4B5D">
      <w:pPr>
        <w:spacing w:after="0" w:line="240" w:lineRule="auto"/>
        <w:ind w:firstLine="709"/>
        <w:contextualSpacing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>Также, г</w:t>
      </w:r>
      <w:r w:rsidR="007151CC">
        <w:rPr>
          <w:rFonts w:ascii="Tinos" w:hAnsi="Tinos" w:cs="Tinos"/>
          <w:sz w:val="28"/>
          <w:szCs w:val="28"/>
        </w:rPr>
        <w:t xml:space="preserve">ражданин имеет возможность в том числе с использование портала </w:t>
      </w:r>
      <w:proofErr w:type="spellStart"/>
      <w:r w:rsidR="007151CC">
        <w:rPr>
          <w:rFonts w:ascii="Tinos" w:hAnsi="Tinos" w:cs="Tinos"/>
          <w:sz w:val="28"/>
          <w:szCs w:val="28"/>
        </w:rPr>
        <w:t>Госуслуги</w:t>
      </w:r>
      <w:proofErr w:type="spellEnd"/>
      <w:r w:rsidR="007151CC">
        <w:rPr>
          <w:rFonts w:ascii="Tinos" w:hAnsi="Tinos" w:cs="Tinos"/>
          <w:sz w:val="28"/>
          <w:szCs w:val="28"/>
        </w:rPr>
        <w:t xml:space="preserve"> запросить в органе местного самоуправления градостроительный план земельного участка (понятие раскрыто в статье 57.3 Градостроительного кодекса Росс</w:t>
      </w:r>
      <w:r w:rsidR="007151CC">
        <w:rPr>
          <w:rFonts w:ascii="Tinos" w:hAnsi="Tinos" w:cs="Tinos"/>
          <w:sz w:val="28"/>
          <w:szCs w:val="28"/>
        </w:rPr>
        <w:t>ийской Федерации).</w:t>
      </w:r>
    </w:p>
    <w:p w:rsidR="00EF59E1" w:rsidRDefault="007151CC">
      <w:pPr>
        <w:spacing w:after="0" w:line="240" w:lineRule="auto"/>
        <w:ind w:firstLine="709"/>
        <w:contextualSpacing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 xml:space="preserve">Кроме того, статья 51.1 Градостроительного кодекса Российской Федерации дает возможность собственнику (тоже реализовано на портале </w:t>
      </w:r>
      <w:proofErr w:type="spellStart"/>
      <w:r>
        <w:rPr>
          <w:rFonts w:ascii="Tinos" w:hAnsi="Tinos" w:cs="Tinos"/>
          <w:sz w:val="28"/>
          <w:szCs w:val="28"/>
        </w:rPr>
        <w:t>Госулуги</w:t>
      </w:r>
      <w:proofErr w:type="spellEnd"/>
      <w:r>
        <w:rPr>
          <w:rFonts w:ascii="Tinos" w:hAnsi="Tinos" w:cs="Tinos"/>
          <w:sz w:val="28"/>
          <w:szCs w:val="28"/>
        </w:rPr>
        <w:t>) участка до начала строительства уведомить орган местного самоуправления о планах по строительств</w:t>
      </w:r>
      <w:r>
        <w:rPr>
          <w:rFonts w:ascii="Tinos" w:hAnsi="Tinos" w:cs="Tinos"/>
          <w:sz w:val="28"/>
          <w:szCs w:val="28"/>
        </w:rPr>
        <w:t>у, и рассчитывать на получение соответствующего ответа администрации – соответствует ли планируемый объект параметрам застройки на территории или нет.</w:t>
      </w:r>
    </w:p>
    <w:p w:rsidR="00EF59E1" w:rsidRDefault="00EF59E1">
      <w:pPr>
        <w:spacing w:after="0" w:line="240" w:lineRule="auto"/>
        <w:ind w:firstLine="709"/>
        <w:contextualSpacing/>
        <w:jc w:val="both"/>
        <w:rPr>
          <w:rFonts w:ascii="Tinos" w:hAnsi="Tinos" w:cs="Tinos"/>
          <w:sz w:val="28"/>
          <w:szCs w:val="28"/>
        </w:rPr>
      </w:pPr>
      <w:bookmarkStart w:id="0" w:name="_GoBack"/>
      <w:bookmarkEnd w:id="0"/>
    </w:p>
    <w:p w:rsidR="00EF59E1" w:rsidRDefault="007151CC">
      <w:pPr>
        <w:spacing w:after="0" w:line="240" w:lineRule="auto"/>
        <w:ind w:firstLine="709"/>
        <w:contextualSpacing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 xml:space="preserve">Общественный совет при Управлении </w:t>
      </w:r>
      <w:proofErr w:type="spellStart"/>
      <w:r>
        <w:rPr>
          <w:rFonts w:ascii="Tinos" w:hAnsi="Tinos" w:cs="Tinos"/>
          <w:sz w:val="28"/>
          <w:szCs w:val="28"/>
        </w:rPr>
        <w:t>Росреестра</w:t>
      </w:r>
      <w:proofErr w:type="spellEnd"/>
      <w:r>
        <w:rPr>
          <w:rFonts w:ascii="Tinos" w:hAnsi="Tinos" w:cs="Tinos"/>
          <w:sz w:val="28"/>
          <w:szCs w:val="28"/>
        </w:rPr>
        <w:t xml:space="preserve"> по Оренбургской области рекомендует перед началом строитель</w:t>
      </w:r>
      <w:r>
        <w:rPr>
          <w:rFonts w:ascii="Tinos" w:hAnsi="Tinos" w:cs="Tinos"/>
          <w:sz w:val="28"/>
          <w:szCs w:val="28"/>
        </w:rPr>
        <w:t xml:space="preserve">ства объекта собственнику земельного участка обращаться в администрацию органа местного самоуправления за предоставлением вышеуказанных государственных услуг. </w:t>
      </w:r>
    </w:p>
    <w:sectPr w:rsidR="00EF59E1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1CC" w:rsidRDefault="007151CC">
      <w:pPr>
        <w:spacing w:after="0" w:line="240" w:lineRule="auto"/>
      </w:pPr>
      <w:r>
        <w:separator/>
      </w:r>
    </w:p>
  </w:endnote>
  <w:endnote w:type="continuationSeparator" w:id="0">
    <w:p w:rsidR="007151CC" w:rsidRDefault="00715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no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9E1" w:rsidRDefault="00EF59E1">
    <w:pPr>
      <w:pStyle w:val="af4"/>
      <w:jc w:val="right"/>
    </w:pPr>
  </w:p>
  <w:p w:rsidR="00EF59E1" w:rsidRDefault="00EF59E1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1CC" w:rsidRDefault="007151CC">
      <w:pPr>
        <w:spacing w:after="0" w:line="240" w:lineRule="auto"/>
      </w:pPr>
      <w:r>
        <w:separator/>
      </w:r>
    </w:p>
  </w:footnote>
  <w:footnote w:type="continuationSeparator" w:id="0">
    <w:p w:rsidR="007151CC" w:rsidRDefault="00715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6783873"/>
      <w:docPartObj>
        <w:docPartGallery w:val="Page Numbers (Top of Page)"/>
        <w:docPartUnique/>
      </w:docPartObj>
    </w:sdtPr>
    <w:sdtEndPr/>
    <w:sdtContent>
      <w:p w:rsidR="00EF59E1" w:rsidRDefault="007151C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B5D">
          <w:rPr>
            <w:noProof/>
          </w:rPr>
          <w:t>2</w:t>
        </w:r>
        <w:r>
          <w:fldChar w:fldCharType="end"/>
        </w:r>
      </w:p>
    </w:sdtContent>
  </w:sdt>
  <w:p w:rsidR="00EF59E1" w:rsidRDefault="00EF59E1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7A62"/>
    <w:multiLevelType w:val="multilevel"/>
    <w:tmpl w:val="61FC88D2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429" w:hanging="360"/>
      </w:pPr>
      <w:rPr>
        <w:b/>
        <w:color w:val="000000" w:themeColor="text1"/>
      </w:r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128830F6"/>
    <w:multiLevelType w:val="hybridMultilevel"/>
    <w:tmpl w:val="389076C0"/>
    <w:lvl w:ilvl="0" w:tplc="340E6064">
      <w:start w:val="1"/>
      <w:numFmt w:val="decimal"/>
      <w:lvlText w:val="%1."/>
      <w:lvlJc w:val="left"/>
      <w:pPr>
        <w:ind w:left="1418" w:hanging="360"/>
      </w:pPr>
    </w:lvl>
    <w:lvl w:ilvl="1" w:tplc="3918D13C">
      <w:start w:val="1"/>
      <w:numFmt w:val="lowerLetter"/>
      <w:lvlText w:val="%2."/>
      <w:lvlJc w:val="left"/>
      <w:pPr>
        <w:ind w:left="2138" w:hanging="360"/>
      </w:pPr>
    </w:lvl>
    <w:lvl w:ilvl="2" w:tplc="6784A37C">
      <w:start w:val="1"/>
      <w:numFmt w:val="lowerRoman"/>
      <w:lvlText w:val="%3."/>
      <w:lvlJc w:val="right"/>
      <w:pPr>
        <w:ind w:left="2858" w:hanging="180"/>
      </w:pPr>
    </w:lvl>
    <w:lvl w:ilvl="3" w:tplc="3DBCD29E">
      <w:start w:val="1"/>
      <w:numFmt w:val="decimal"/>
      <w:lvlText w:val="%4."/>
      <w:lvlJc w:val="left"/>
      <w:pPr>
        <w:ind w:left="3578" w:hanging="360"/>
      </w:pPr>
    </w:lvl>
    <w:lvl w:ilvl="4" w:tplc="94A2A06C">
      <w:start w:val="1"/>
      <w:numFmt w:val="lowerLetter"/>
      <w:lvlText w:val="%5."/>
      <w:lvlJc w:val="left"/>
      <w:pPr>
        <w:ind w:left="4298" w:hanging="360"/>
      </w:pPr>
    </w:lvl>
    <w:lvl w:ilvl="5" w:tplc="C69E3990">
      <w:start w:val="1"/>
      <w:numFmt w:val="lowerRoman"/>
      <w:lvlText w:val="%6."/>
      <w:lvlJc w:val="right"/>
      <w:pPr>
        <w:ind w:left="5018" w:hanging="180"/>
      </w:pPr>
    </w:lvl>
    <w:lvl w:ilvl="6" w:tplc="C100C68A">
      <w:start w:val="1"/>
      <w:numFmt w:val="decimal"/>
      <w:lvlText w:val="%7."/>
      <w:lvlJc w:val="left"/>
      <w:pPr>
        <w:ind w:left="5738" w:hanging="360"/>
      </w:pPr>
    </w:lvl>
    <w:lvl w:ilvl="7" w:tplc="21A8A4BE">
      <w:start w:val="1"/>
      <w:numFmt w:val="lowerLetter"/>
      <w:lvlText w:val="%8."/>
      <w:lvlJc w:val="left"/>
      <w:pPr>
        <w:ind w:left="6458" w:hanging="360"/>
      </w:pPr>
    </w:lvl>
    <w:lvl w:ilvl="8" w:tplc="9796E394">
      <w:start w:val="1"/>
      <w:numFmt w:val="lowerRoman"/>
      <w:lvlText w:val="%9."/>
      <w:lvlJc w:val="right"/>
      <w:pPr>
        <w:ind w:left="7178" w:hanging="180"/>
      </w:pPr>
    </w:lvl>
  </w:abstractNum>
  <w:abstractNum w:abstractNumId="2" w15:restartNumberingAfterBreak="0">
    <w:nsid w:val="129218A6"/>
    <w:multiLevelType w:val="multilevel"/>
    <w:tmpl w:val="4DECEA6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429" w:hanging="360"/>
      </w:pPr>
      <w:rPr>
        <w:b/>
        <w:color w:val="000000" w:themeColor="text1"/>
      </w:r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197A05AF"/>
    <w:multiLevelType w:val="multilevel"/>
    <w:tmpl w:val="7186BC54"/>
    <w:lvl w:ilvl="0">
      <w:start w:val="1"/>
      <w:numFmt w:val="decimal"/>
      <w:lvlText w:val="%1."/>
      <w:lvlJc w:val="left"/>
      <w:pPr>
        <w:ind w:left="360" w:hanging="360"/>
      </w:pPr>
      <w:rPr>
        <w:rFonts w:ascii="Tinos" w:eastAsia="Tinos" w:hAnsi="Tinos" w:cs="Tinos"/>
        <w:b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FDB3066"/>
    <w:multiLevelType w:val="multilevel"/>
    <w:tmpl w:val="8446EB22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429" w:hanging="360"/>
      </w:pPr>
      <w:rPr>
        <w:b/>
        <w:color w:val="000000" w:themeColor="text1"/>
      </w:r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67817F02"/>
    <w:multiLevelType w:val="multilevel"/>
    <w:tmpl w:val="33D4AC80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429" w:hanging="360"/>
      </w:pPr>
      <w:rPr>
        <w:b/>
        <w:color w:val="000000" w:themeColor="text1"/>
      </w:r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76E34543"/>
    <w:multiLevelType w:val="hybridMultilevel"/>
    <w:tmpl w:val="DA80E64C"/>
    <w:lvl w:ilvl="0" w:tplc="A97ED82A">
      <w:start w:val="1"/>
      <w:numFmt w:val="decimal"/>
      <w:lvlText w:val="%1."/>
      <w:lvlJc w:val="left"/>
      <w:pPr>
        <w:ind w:left="709" w:hanging="360"/>
      </w:pPr>
      <w:rPr>
        <w:b/>
      </w:rPr>
    </w:lvl>
    <w:lvl w:ilvl="1" w:tplc="85629358">
      <w:start w:val="1"/>
      <w:numFmt w:val="lowerLetter"/>
      <w:lvlText w:val="%2."/>
      <w:lvlJc w:val="left"/>
      <w:pPr>
        <w:ind w:left="1429" w:hanging="360"/>
      </w:pPr>
    </w:lvl>
    <w:lvl w:ilvl="2" w:tplc="248EA81C">
      <w:start w:val="1"/>
      <w:numFmt w:val="lowerRoman"/>
      <w:lvlText w:val="%3."/>
      <w:lvlJc w:val="right"/>
      <w:pPr>
        <w:ind w:left="2149" w:hanging="180"/>
      </w:pPr>
    </w:lvl>
    <w:lvl w:ilvl="3" w:tplc="E63E898E">
      <w:start w:val="1"/>
      <w:numFmt w:val="decimal"/>
      <w:lvlText w:val="%4."/>
      <w:lvlJc w:val="left"/>
      <w:pPr>
        <w:ind w:left="2869" w:hanging="360"/>
      </w:pPr>
    </w:lvl>
    <w:lvl w:ilvl="4" w:tplc="9E384E86">
      <w:start w:val="1"/>
      <w:numFmt w:val="lowerLetter"/>
      <w:lvlText w:val="%5."/>
      <w:lvlJc w:val="left"/>
      <w:pPr>
        <w:ind w:left="3589" w:hanging="360"/>
      </w:pPr>
    </w:lvl>
    <w:lvl w:ilvl="5" w:tplc="CE7276EE">
      <w:start w:val="1"/>
      <w:numFmt w:val="lowerRoman"/>
      <w:lvlText w:val="%6."/>
      <w:lvlJc w:val="right"/>
      <w:pPr>
        <w:ind w:left="4309" w:hanging="180"/>
      </w:pPr>
    </w:lvl>
    <w:lvl w:ilvl="6" w:tplc="E4D2E7AE">
      <w:start w:val="1"/>
      <w:numFmt w:val="decimal"/>
      <w:lvlText w:val="%7."/>
      <w:lvlJc w:val="left"/>
      <w:pPr>
        <w:ind w:left="5029" w:hanging="360"/>
      </w:pPr>
    </w:lvl>
    <w:lvl w:ilvl="7" w:tplc="8B6637B2">
      <w:start w:val="1"/>
      <w:numFmt w:val="lowerLetter"/>
      <w:lvlText w:val="%8."/>
      <w:lvlJc w:val="left"/>
      <w:pPr>
        <w:ind w:left="5749" w:hanging="360"/>
      </w:pPr>
    </w:lvl>
    <w:lvl w:ilvl="8" w:tplc="35E86F20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9E1"/>
    <w:rsid w:val="000206E7"/>
    <w:rsid w:val="007151CC"/>
    <w:rsid w:val="00EE4B5D"/>
    <w:rsid w:val="00EF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928D"/>
  <w15:docId w15:val="{34BF972D-415F-4AA7-97CB-A114DFB1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eastAsia="Calibri" w:hAnsi="Tahoma" w:cs="Tahoma"/>
      <w:sz w:val="16"/>
      <w:szCs w:val="16"/>
    </w:r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Pr>
      <w:rFonts w:ascii="Calibri" w:eastAsia="Calibri" w:hAnsi="Calibri" w:cs="Times New Roman"/>
    </w:rPr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Pr>
      <w:rFonts w:ascii="Calibri" w:eastAsia="Calibri" w:hAnsi="Calibri" w:cs="Times New Roman"/>
    </w:rPr>
  </w:style>
  <w:style w:type="paragraph" w:styleId="af6">
    <w:name w:val="endnote text"/>
    <w:basedOn w:val="a"/>
    <w:link w:val="af7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rFonts w:ascii="Calibri" w:eastAsia="Calibri" w:hAnsi="Calibri" w:cs="Times New Roman"/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footnote text"/>
    <w:basedOn w:val="a"/>
    <w:link w:val="afa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rPr>
      <w:rFonts w:ascii="Calibri" w:eastAsia="Calibri" w:hAnsi="Calibri" w:cs="Times New Roman"/>
      <w:sz w:val="20"/>
      <w:szCs w:val="20"/>
    </w:rPr>
  </w:style>
  <w:style w:type="character" w:styleId="afb">
    <w:name w:val="footnote reference"/>
    <w:basedOn w:val="a0"/>
    <w:uiPriority w:val="99"/>
    <w:unhideWhenUsed/>
    <w:qFormat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fontstyle01">
    <w:name w:val="fontstyle01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Pr>
      <w:rFonts w:ascii="Times New Roman" w:hAnsi="Times New Roman" w:cs="Times New Roman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9DD91-597A-460A-96A4-C196CADDA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782</Words>
  <Characters>4461</Characters>
  <Application>Microsoft Office Word</Application>
  <DocSecurity>0</DocSecurity>
  <Lines>37</Lines>
  <Paragraphs>10</Paragraphs>
  <ScaleCrop>false</ScaleCrop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Mysina</dc:creator>
  <cp:keywords/>
  <dc:description/>
  <cp:lastModifiedBy>Иван Михайлович Новичков</cp:lastModifiedBy>
  <cp:revision>59</cp:revision>
  <dcterms:created xsi:type="dcterms:W3CDTF">2024-04-15T06:03:00Z</dcterms:created>
  <dcterms:modified xsi:type="dcterms:W3CDTF">2025-11-07T05:53:00Z</dcterms:modified>
</cp:coreProperties>
</file>